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9080"/>
      </w:tblGrid>
      <w:tr w:rsidR="00A0791F" w:rsidRPr="00A0791F" w:rsidTr="00A0791F">
        <w:trPr>
          <w:jc w:val="center"/>
        </w:trPr>
        <w:tc>
          <w:tcPr>
            <w:tcW w:w="0" w:type="auto"/>
            <w:shd w:val="clear" w:color="auto" w:fill="FFFFFF"/>
            <w:vAlign w:val="center"/>
            <w:hideMark/>
          </w:tcPr>
          <w:p w:rsidR="00A0791F" w:rsidRPr="00A0791F" w:rsidRDefault="00A0791F" w:rsidP="00A0791F">
            <w:pPr>
              <w:spacing w:after="0" w:line="240" w:lineRule="auto"/>
              <w:rPr>
                <w:rFonts w:ascii="Tahoma" w:eastAsia="Times New Roman" w:hAnsi="Tahoma" w:cs="Tahoma"/>
                <w:b/>
                <w:bCs/>
                <w:color w:val="000000"/>
                <w:sz w:val="17"/>
                <w:szCs w:val="17"/>
                <w:lang w:eastAsia="es-AR"/>
              </w:rPr>
            </w:pPr>
            <w:r>
              <w:rPr>
                <w:rFonts w:ascii="Tahoma" w:eastAsia="Times New Roman" w:hAnsi="Tahoma" w:cs="Tahoma"/>
                <w:b/>
                <w:bCs/>
                <w:noProof/>
                <w:color w:val="0505A0"/>
                <w:sz w:val="17"/>
                <w:szCs w:val="17"/>
                <w:lang w:eastAsia="es-AR"/>
              </w:rPr>
              <w:drawing>
                <wp:inline distT="0" distB="0" distL="0" distR="0">
                  <wp:extent cx="5629275" cy="447675"/>
                  <wp:effectExtent l="0" t="0" r="9525" b="9525"/>
                  <wp:docPr id="1" name="Imagen 1" descr="http://test.e-legis-ar.msal.gov.ar/counter/uploads/9/_/ley_20091021_26529_/banernaciona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e-legis-ar.msal.gov.ar/counter/uploads/9/_/ley_20091021_26529_/banernaciona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447675"/>
                          </a:xfrm>
                          <a:prstGeom prst="rect">
                            <a:avLst/>
                          </a:prstGeom>
                          <a:noFill/>
                          <a:ln>
                            <a:noFill/>
                          </a:ln>
                        </pic:spPr>
                      </pic:pic>
                    </a:graphicData>
                  </a:graphic>
                </wp:inline>
              </w:drawing>
            </w:r>
            <w:r w:rsidRPr="00A0791F">
              <w:rPr>
                <w:rFonts w:ascii="Tahoma" w:eastAsia="Times New Roman" w:hAnsi="Tahoma" w:cs="Tahoma"/>
                <w:b/>
                <w:bCs/>
                <w:color w:val="000000"/>
                <w:sz w:val="17"/>
                <w:szCs w:val="17"/>
                <w:lang w:eastAsia="es-AR"/>
              </w:rPr>
              <w:t> </w:t>
            </w:r>
          </w:p>
          <w:p w:rsidR="00A0791F" w:rsidRPr="00A0791F" w:rsidRDefault="00A0791F" w:rsidP="00A0791F">
            <w:pPr>
              <w:spacing w:before="100" w:beforeAutospacing="1" w:after="100" w:afterAutospacing="1" w:line="280" w:lineRule="atLeast"/>
              <w:jc w:val="both"/>
              <w:rPr>
                <w:rFonts w:ascii="Tahoma" w:eastAsia="Times New Roman" w:hAnsi="Tahoma" w:cs="Tahoma"/>
                <w:b/>
                <w:bCs/>
                <w:color w:val="000000"/>
                <w:sz w:val="17"/>
                <w:szCs w:val="17"/>
                <w:lang w:eastAsia="es-AR"/>
              </w:rPr>
            </w:pPr>
            <w:r w:rsidRPr="00A0791F">
              <w:rPr>
                <w:rFonts w:ascii="Tahoma" w:eastAsia="Times New Roman" w:hAnsi="Tahoma" w:cs="Tahoma"/>
                <w:b/>
                <w:bCs/>
                <w:color w:val="000000"/>
                <w:sz w:val="17"/>
                <w:szCs w:val="17"/>
                <w:lang w:eastAsia="es-AR"/>
              </w:rPr>
              <w:t>LEY 26529  </w:t>
            </w:r>
          </w:p>
          <w:p w:rsidR="00A0791F" w:rsidRPr="00A0791F" w:rsidRDefault="00A0791F" w:rsidP="00A0791F">
            <w:pPr>
              <w:spacing w:before="100" w:beforeAutospacing="1" w:after="100" w:afterAutospacing="1" w:line="280" w:lineRule="atLeast"/>
              <w:jc w:val="both"/>
              <w:rPr>
                <w:rFonts w:ascii="Tahoma" w:eastAsia="Times New Roman" w:hAnsi="Tahoma" w:cs="Tahoma"/>
                <w:b/>
                <w:bCs/>
                <w:color w:val="000000"/>
                <w:sz w:val="17"/>
                <w:szCs w:val="17"/>
                <w:lang w:eastAsia="es-AR"/>
              </w:rPr>
            </w:pPr>
            <w:r w:rsidRPr="00A0791F">
              <w:rPr>
                <w:rFonts w:ascii="Tahoma" w:eastAsia="Times New Roman" w:hAnsi="Tahoma" w:cs="Tahoma"/>
                <w:b/>
                <w:bCs/>
                <w:color w:val="000000"/>
                <w:sz w:val="17"/>
                <w:szCs w:val="17"/>
                <w:lang w:eastAsia="es-AR"/>
              </w:rPr>
              <w:t>PODER LEGISLATIVO NACIONAL (PLN)  </w:t>
            </w:r>
          </w:p>
          <w:tbl>
            <w:tblPr>
              <w:tblW w:w="5000" w:type="pct"/>
              <w:tblCellMar>
                <w:top w:w="15" w:type="dxa"/>
                <w:left w:w="15" w:type="dxa"/>
                <w:bottom w:w="15" w:type="dxa"/>
                <w:right w:w="15" w:type="dxa"/>
              </w:tblCellMar>
              <w:tblLook w:val="04A0" w:firstRow="1" w:lastRow="0" w:firstColumn="1" w:lastColumn="0" w:noHBand="0" w:noVBand="1"/>
            </w:tblPr>
            <w:tblGrid>
              <w:gridCol w:w="3572"/>
              <w:gridCol w:w="5358"/>
            </w:tblGrid>
            <w:tr w:rsidR="00A0791F" w:rsidRPr="00A0791F">
              <w:tc>
                <w:tcPr>
                  <w:tcW w:w="2000" w:type="pct"/>
                  <w:vAlign w:val="center"/>
                  <w:hideMark/>
                </w:tcPr>
                <w:p w:rsidR="00A0791F" w:rsidRPr="00A0791F" w:rsidRDefault="00A0791F" w:rsidP="00A0791F">
                  <w:pPr>
                    <w:spacing w:after="0" w:line="240" w:lineRule="auto"/>
                    <w:rPr>
                      <w:rFonts w:ascii="Times New Roman" w:eastAsia="Times New Roman" w:hAnsi="Times New Roman" w:cs="Times New Roman"/>
                      <w:color w:val="000000"/>
                      <w:sz w:val="17"/>
                      <w:szCs w:val="17"/>
                      <w:lang w:eastAsia="es-AR"/>
                    </w:rPr>
                  </w:pPr>
                  <w:r w:rsidRPr="00A0791F">
                    <w:rPr>
                      <w:rFonts w:ascii="Times New Roman" w:eastAsia="Times New Roman" w:hAnsi="Times New Roman" w:cs="Times New Roman"/>
                      <w:color w:val="000000"/>
                      <w:sz w:val="17"/>
                      <w:szCs w:val="17"/>
                      <w:lang w:eastAsia="es-AR"/>
                    </w:rPr>
                    <w:t> </w:t>
                  </w:r>
                </w:p>
              </w:tc>
              <w:tc>
                <w:tcPr>
                  <w:tcW w:w="3000" w:type="pct"/>
                  <w:vAlign w:val="center"/>
                  <w:hideMark/>
                </w:tcPr>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Derechos del Paciente en su Relación con los Profesionales e Instituciones de la Salud.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Sanción: 21/10/2009; Promulgación de Hecho: 19/11/2009; Boletín Oficial 20/11/2009. </w:t>
                  </w:r>
                </w:p>
              </w:tc>
            </w:tr>
          </w:tbl>
          <w:p w:rsidR="00A0791F" w:rsidRPr="00A0791F" w:rsidRDefault="00A0791F" w:rsidP="00A0791F">
            <w:pPr>
              <w:spacing w:after="0" w:line="240" w:lineRule="auto"/>
              <w:rPr>
                <w:rFonts w:ascii="Tahoma" w:eastAsia="Times New Roman" w:hAnsi="Tahoma" w:cs="Tahoma"/>
                <w:color w:val="000000"/>
                <w:sz w:val="17"/>
                <w:szCs w:val="17"/>
                <w:lang w:eastAsia="es-AR"/>
              </w:rPr>
            </w:pP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El Senado y Cámara de Diputados de la Nación Argentina reunidos en Congreso, etc. sancionan con fuerza de Ley: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DERECHOS DEL PACIENTE, HISTORIA CLINICA Y CONSENTIMIENTO INFORMADO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Artículo 1º.- </w:t>
            </w:r>
            <w:proofErr w:type="spellStart"/>
            <w:r w:rsidRPr="00A0791F">
              <w:rPr>
                <w:rFonts w:ascii="Tahoma" w:eastAsia="Times New Roman" w:hAnsi="Tahoma" w:cs="Tahoma"/>
                <w:color w:val="000000"/>
                <w:sz w:val="17"/>
                <w:szCs w:val="17"/>
                <w:lang w:eastAsia="es-AR"/>
              </w:rPr>
              <w:t>Ambito</w:t>
            </w:r>
            <w:proofErr w:type="spellEnd"/>
            <w:r w:rsidRPr="00A0791F">
              <w:rPr>
                <w:rFonts w:ascii="Tahoma" w:eastAsia="Times New Roman" w:hAnsi="Tahoma" w:cs="Tahoma"/>
                <w:color w:val="000000"/>
                <w:sz w:val="17"/>
                <w:szCs w:val="17"/>
                <w:lang w:eastAsia="es-AR"/>
              </w:rPr>
              <w:t xml:space="preserve"> de aplicación. El ejercicio de los derechos del paciente, en cuanto a la autonomía de la voluntad, la información y la documentación clínica, se rige por la presente ley.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Capítulo I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DERECHOS DEL PACIENTE EN SU RELACION CON LOS PROFESIONALES E INSTITUCIONES DE LA SALUD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2º.- Derechos del paciente. Constituyen derechos esenciales en la relación entre el paciente y el o los profesionales de la salud, el o los agentes del seguro de salud, y cualquier efector de que se trate, los siguientes: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 Asistencia. El paciente, prioritariamente los niños, niñas y adolescentes, tiene derecho a ser asistido por los profesionales de la salud, sin menoscabo y distinción alguna, producto de sus ideas, creencias religiosas, políticas, condición socioeconómica, raza, sexo, orientación sexual o cualquier otra condición. El profesional actuante sólo podrá eximirse del deber de asistencia, cuando se hubiere hecho cargo efectivamente del paciente otro profesional competente;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b) Trato digno y respetuoso. El paciente tiene el derecho a que los agentes del sistema de salud intervinientes, le otorguen un trato digno, con respeto a sus convicciones personales y morales, principalmente las relacionadas con sus condiciones socioculturales, de género, de pudor y a su intimidad, cualquiera sea el padecimiento que presente, y se haga extensivo a los familiares o acompañantes;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 Intimidad. Toda actividad médico - asistencial tendiente a obtener, clasificar, utilizar, administrar, custodiar y transmitir información y documentación clínica del paciente debe observar el estricto respeto por la dignidad humana y la autonomía de la voluntad, así como el debido resguardo de la intimidad del mismo y la confidencialidad de sus datos sensibles, sin perjuicio de las previsiones contenidas en la Ley Nº 25.326;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d) Confidencialidad. El paciente tiene derecho a que toda persona que participe en la elaboración o manipulación de la </w:t>
            </w:r>
            <w:r w:rsidRPr="00A0791F">
              <w:rPr>
                <w:rFonts w:ascii="Tahoma" w:eastAsia="Times New Roman" w:hAnsi="Tahoma" w:cs="Tahoma"/>
                <w:color w:val="000000"/>
                <w:sz w:val="17"/>
                <w:szCs w:val="17"/>
                <w:lang w:eastAsia="es-AR"/>
              </w:rPr>
              <w:lastRenderedPageBreak/>
              <w:t>documentación clínica, o bien tenga acceso al contenido de la misma, guarde la debida reserva, salvo expresa disposición en contrario emanada de autoridad judicial competente o autorización del propio paciente;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e) Autonomía de la Voluntad. El paciente tiene derecho a aceptar o rechazar determinadas terapias o procedimientos médicos o biológicos, con o sin expresión de causa, como así también a revocar posteriormente su manifestación de la voluntad. Los niños, niñas y adolescentes tienen derecho a intervenir en los términos de la Ley Nº 26.061 a los fines de la toma de decisión sobre terapias o procedimientos médicos o biológicos que involucren su vida o salud;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f) Información Sanitaria. El paciente tiene derecho a recibir la información sanitaria necesaria, vinculada a su salud. El derecho a la información sanitaria incluye el de no recibir la mencionada información.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g) Interconsulta Médica. El paciente tiene derecho a recibir la información sanitaria por escrito, a fin de obtener una segunda opinión sobre el diagnóstico, pronóstico o tratamiento relacionados con su estado de salud.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Capítulo II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DE LA INFORMACION SANITARIA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3º.- Definición. A los efectos de la presente ley, entiéndase por información sanitaria aquella que, de manera clara, suficiente y adecuada a la capacidad de comprensión del paciente, informe sobre su estado de salud, los estudios y tratamientos que fueren menester realizarle y la previsible evolución, riesgos, complicaciones o secuelas de los mismos.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4º.- Autorización. La información sanitaria sólo podrá ser brindada a terceras personas, con autorización del paciente.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En el supuesto de incapacidad del paciente o imposibilidad de comprender la información a causa de su estado físico o psíquico, la misma será brindada a su representante legal o, en su defecto, al cónyuge que conviva con el paciente, o la persona que, sin ser su cónyuge, conviva o esté a cargo de la asistencia o cuidado del mismo y los familiares hasta el cuarto grado de consanguinidad.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Capítulo III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DEL CONSENTIMIENTO INFORMADO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Art. 5º.- Definición. </w:t>
            </w:r>
            <w:proofErr w:type="spellStart"/>
            <w:r w:rsidRPr="00A0791F">
              <w:rPr>
                <w:rFonts w:ascii="Tahoma" w:eastAsia="Times New Roman" w:hAnsi="Tahoma" w:cs="Tahoma"/>
                <w:color w:val="000000"/>
                <w:sz w:val="17"/>
                <w:szCs w:val="17"/>
                <w:lang w:eastAsia="es-AR"/>
              </w:rPr>
              <w:t>Entiéndese</w:t>
            </w:r>
            <w:proofErr w:type="spellEnd"/>
            <w:r w:rsidRPr="00A0791F">
              <w:rPr>
                <w:rFonts w:ascii="Tahoma" w:eastAsia="Times New Roman" w:hAnsi="Tahoma" w:cs="Tahoma"/>
                <w:color w:val="000000"/>
                <w:sz w:val="17"/>
                <w:szCs w:val="17"/>
                <w:lang w:eastAsia="es-AR"/>
              </w:rPr>
              <w:t xml:space="preserve"> por consentimiento informado, la declaración de voluntad suficiente efectuada por el paciente, o por sus representantes legales en su caso, emitida luego de recibir, por parte del profesional interviniente, información clara, precisa y adecuada con respecto 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 Su estado de salud;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b) El procedimiento propuesto, con especificación de los objetivos perseguidos;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 Los beneficios esperados del procedimiento;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lastRenderedPageBreak/>
              <w:t>d) Los riesgos, molestias y efectos adversos previsibles;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e) La especificación de los procedimientos alternativos y sus riesgos, beneficios y perjuicios en relación con el procedimiento propuesto;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f) Las consecuencias previsibles de la no realización del procedimiento propuesto o de los alternativos especificados.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6º.- Obligatoriedad. Toda actuación profesional en el ámbito médico-sanitario, sea público o privado, requiere, con carácter general y dentro de los límites que se fijen por vía reglamentaria, el previo consentimiento informado del paciente.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7º.- Instrumentación. El consentimiento será verbal con las siguientes excepciones, en los que será por escrito y debidamente suscrito: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 Internación;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b) Intervención quirúrgica;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 Procedimientos diagnósticos y terapéuticos invasivos;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 Procedimientos que implican riesgos según lo determine la reglamentación de la presente ley;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e) Revocación.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8º.- Exposición con fines académicos.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Se requiere el consentimiento del paciente o en su defecto, el de sus representantes legales, y del profesional de la salud interviniente ante exposiciones con fines académicos, con carácter previo a la realización de dicha exposición.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9º.- Excepciones al consentimiento informado. El profesional de la salud quedará eximido de requerir el consentimiento informado en los siguientes casos: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 Cuando mediare grave peligro para la salud pública;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b) Cuando mediare una situación de emergencia, con grave peligro para la salud o vida del paciente, y no pudiera dar el consentimiento por sí o a través de sus representantes legales.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Las excepciones establecidas en el presente artículo se acreditarán de conformidad a lo que establezca la reglamentación, las que deberán ser interpretadas con carácter restrictivo.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Art. 10.- Revocabilidad. La decisión del paciente o de su representante legal, en cuanto a consentir o rechazar los tratamientos indicados, puede ser revocada. El profesional actuante debe acatar tal decisión, y dejar expresa constancia de ello en la historia clínica, adoptando para el caso todas las formalidades que resulten menester a los fines de acreditar fehacientemente tal manifestación de voluntad, y que la misma fue adoptada en conocimientos de </w:t>
            </w:r>
            <w:r w:rsidRPr="00A0791F">
              <w:rPr>
                <w:rFonts w:ascii="Tahoma" w:eastAsia="Times New Roman" w:hAnsi="Tahoma" w:cs="Tahoma"/>
                <w:color w:val="000000"/>
                <w:sz w:val="17"/>
                <w:szCs w:val="17"/>
                <w:lang w:eastAsia="es-AR"/>
              </w:rPr>
              <w:lastRenderedPageBreak/>
              <w:t>los riesgos previsibles que la misma implica.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En los casos en que el paciente o su representante legal revoquen el rechazo dado a tratamientos indicados, el profesional actuante sólo acatará tal decisión si se mantienen las condiciones de salud del paciente que en su oportunidad aconsejaron dicho tratamiento. La decisión debidamente fundada del profesional actuante se asentará en la historia clínica.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11.- Directivas anticipadas. Toda persona capaz mayor de edad puede disponer directivas anticipadas sobre su salud, pudiendo consentir o rechazar determinados tratamientos médicos, preventivos o paliativos, y decisiones relativas a su salud. Las directivas deberán ser aceptadas por el médico a cargo, salvo las que impliquen desarrollar prácticas eutanásicas, las que se tendrán como inexistentes.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Capítulo IV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DE LA HISTORIA CLINICA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12.- Definición y alcance. A los efectos de esta ley, entiéndase por historia clínica, el documento obligatorio cronológico, foliado y completo en el que conste toda actuación realizada al paciente por profesionales y auxiliares de la salud.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Art. 13.- Historia clínica informatizada. El contenido de la historia clínica, puede confeccionarse en soporte magnético siempre que se arbitren todos los medios que aseguren la preservación de su integridad, autenticidad, inalterabilidad, perdurabilidad y </w:t>
            </w:r>
            <w:proofErr w:type="spellStart"/>
            <w:r w:rsidRPr="00A0791F">
              <w:rPr>
                <w:rFonts w:ascii="Tahoma" w:eastAsia="Times New Roman" w:hAnsi="Tahoma" w:cs="Tahoma"/>
                <w:color w:val="000000"/>
                <w:sz w:val="17"/>
                <w:szCs w:val="17"/>
                <w:lang w:eastAsia="es-AR"/>
              </w:rPr>
              <w:t>recuperabilidad</w:t>
            </w:r>
            <w:proofErr w:type="spellEnd"/>
            <w:r w:rsidRPr="00A0791F">
              <w:rPr>
                <w:rFonts w:ascii="Tahoma" w:eastAsia="Times New Roman" w:hAnsi="Tahoma" w:cs="Tahoma"/>
                <w:color w:val="000000"/>
                <w:sz w:val="17"/>
                <w:szCs w:val="17"/>
                <w:lang w:eastAsia="es-AR"/>
              </w:rPr>
              <w:t xml:space="preserve"> de los datos contenidos en la misma en tiempo y forma. A tal fin, debe adoptarse el uso de accesos restringidos con claves de identificación, medios no </w:t>
            </w:r>
            <w:proofErr w:type="spellStart"/>
            <w:r w:rsidRPr="00A0791F">
              <w:rPr>
                <w:rFonts w:ascii="Tahoma" w:eastAsia="Times New Roman" w:hAnsi="Tahoma" w:cs="Tahoma"/>
                <w:color w:val="000000"/>
                <w:sz w:val="17"/>
                <w:szCs w:val="17"/>
                <w:lang w:eastAsia="es-AR"/>
              </w:rPr>
              <w:t>reescribibles</w:t>
            </w:r>
            <w:proofErr w:type="spellEnd"/>
            <w:r w:rsidRPr="00A0791F">
              <w:rPr>
                <w:rFonts w:ascii="Tahoma" w:eastAsia="Times New Roman" w:hAnsi="Tahoma" w:cs="Tahoma"/>
                <w:color w:val="000000"/>
                <w:sz w:val="17"/>
                <w:szCs w:val="17"/>
                <w:lang w:eastAsia="es-AR"/>
              </w:rPr>
              <w:t xml:space="preserve"> de almacenamiento, control de modificación de campos o cualquier otra técnica idónea para asegurar su integridad.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La reglamentación establece la documentación </w:t>
            </w:r>
            <w:proofErr w:type="spellStart"/>
            <w:r w:rsidRPr="00A0791F">
              <w:rPr>
                <w:rFonts w:ascii="Tahoma" w:eastAsia="Times New Roman" w:hAnsi="Tahoma" w:cs="Tahoma"/>
                <w:color w:val="000000"/>
                <w:sz w:val="17"/>
                <w:szCs w:val="17"/>
                <w:lang w:eastAsia="es-AR"/>
              </w:rPr>
              <w:t>respaldatoria</w:t>
            </w:r>
            <w:proofErr w:type="spellEnd"/>
            <w:r w:rsidRPr="00A0791F">
              <w:rPr>
                <w:rFonts w:ascii="Tahoma" w:eastAsia="Times New Roman" w:hAnsi="Tahoma" w:cs="Tahoma"/>
                <w:color w:val="000000"/>
                <w:sz w:val="17"/>
                <w:szCs w:val="17"/>
                <w:lang w:eastAsia="es-AR"/>
              </w:rPr>
              <w:t xml:space="preserve"> que deberá conservarse y designa a los responsables que tendrán a su cargo la guarda de la misma.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14.- Titularidad. El paciente es el titular de la historia clínica. A su simple requerimiento debe suministrársele copia de la misma, autenticada por autoridad competente de la institución asistencial. La entrega se realizará dentro de las cuarenta y ocho (48) horas de solicitada, salvo caso de emergencia.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15.- Asientos. Sin perjuicio de lo establecido en los artículos precedentes y de lo que disponga la reglamentación, en la historia clínica se deberá asentar: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 La fecha de inicio de su confección;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b) Datos </w:t>
            </w:r>
            <w:proofErr w:type="spellStart"/>
            <w:r w:rsidRPr="00A0791F">
              <w:rPr>
                <w:rFonts w:ascii="Tahoma" w:eastAsia="Times New Roman" w:hAnsi="Tahoma" w:cs="Tahoma"/>
                <w:color w:val="000000"/>
                <w:sz w:val="17"/>
                <w:szCs w:val="17"/>
                <w:lang w:eastAsia="es-AR"/>
              </w:rPr>
              <w:t>identificatorios</w:t>
            </w:r>
            <w:proofErr w:type="spellEnd"/>
            <w:r w:rsidRPr="00A0791F">
              <w:rPr>
                <w:rFonts w:ascii="Tahoma" w:eastAsia="Times New Roman" w:hAnsi="Tahoma" w:cs="Tahoma"/>
                <w:color w:val="000000"/>
                <w:sz w:val="17"/>
                <w:szCs w:val="17"/>
                <w:lang w:eastAsia="es-AR"/>
              </w:rPr>
              <w:t xml:space="preserve"> del paciente y su núcleo familiar;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c) Datos </w:t>
            </w:r>
            <w:proofErr w:type="spellStart"/>
            <w:r w:rsidRPr="00A0791F">
              <w:rPr>
                <w:rFonts w:ascii="Tahoma" w:eastAsia="Times New Roman" w:hAnsi="Tahoma" w:cs="Tahoma"/>
                <w:color w:val="000000"/>
                <w:sz w:val="17"/>
                <w:szCs w:val="17"/>
                <w:lang w:eastAsia="es-AR"/>
              </w:rPr>
              <w:t>identificatorios</w:t>
            </w:r>
            <w:proofErr w:type="spellEnd"/>
            <w:r w:rsidRPr="00A0791F">
              <w:rPr>
                <w:rFonts w:ascii="Tahoma" w:eastAsia="Times New Roman" w:hAnsi="Tahoma" w:cs="Tahoma"/>
                <w:color w:val="000000"/>
                <w:sz w:val="17"/>
                <w:szCs w:val="17"/>
                <w:lang w:eastAsia="es-AR"/>
              </w:rPr>
              <w:t xml:space="preserve"> del profesional interviniente y su especialidad;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 Registros claros y precisos de los actos realizados por los profesionales y auxiliares intervinientes;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lastRenderedPageBreak/>
              <w:t>e) Antecedentes genéticos, fisiológicos y patológicos si los hubiere;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f) Todo acto médico realizado o indicado, sea que se trate de prescripción y suministro de medicamentos, realización de tratamientos, prácticas, estudios principales y complementarios afines con el diagnóstico presuntivo y en su caso de certeza, constancias de intervención de especialistas, diagnóstico, pronóstico, procedimiento, evolución y toda otra actividad inherente, en especial ingresos y altas médicas.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Los asientos que se correspondan con lo establecido en los incisos d), e) y f) del presente artículo, deberán ser realizados sobre la base de nomenclaturas y modelos universales adoptados y actualizados por la Organización Mundial de la Salud, que la autoridad de aplicación establecerá y actualizará por vía reglamentaria.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Art. 16.- Integridad. Forman parte de la historia clínica, los consentimientos informados, las hojas de indicaciones médicas, las planillas de enfermería, los protocolos quirúrgicos, las prescripciones </w:t>
            </w:r>
            <w:proofErr w:type="spellStart"/>
            <w:r w:rsidRPr="00A0791F">
              <w:rPr>
                <w:rFonts w:ascii="Tahoma" w:eastAsia="Times New Roman" w:hAnsi="Tahoma" w:cs="Tahoma"/>
                <w:color w:val="000000"/>
                <w:sz w:val="17"/>
                <w:szCs w:val="17"/>
                <w:lang w:eastAsia="es-AR"/>
              </w:rPr>
              <w:t>dietarias</w:t>
            </w:r>
            <w:proofErr w:type="spellEnd"/>
            <w:r w:rsidRPr="00A0791F">
              <w:rPr>
                <w:rFonts w:ascii="Tahoma" w:eastAsia="Times New Roman" w:hAnsi="Tahoma" w:cs="Tahoma"/>
                <w:color w:val="000000"/>
                <w:sz w:val="17"/>
                <w:szCs w:val="17"/>
                <w:lang w:eastAsia="es-AR"/>
              </w:rPr>
              <w:t>, los estudios y prácticas realizadas, rechazadas o abandonadas, debiéndose acompañar en cada caso, breve sumario del acto de agregación y desglose autorizado con constancia de fecha, firma y sello del profesional actuante.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17.- Unicidad. La historia clínica tiene carácter único dentro de cada establecimiento asistencial público o privado, y debe identificar al paciente por medio de una “clave uniforme”, la que deberá ser comunicada al mismo.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18.- Inviolabilidad. Depositarios.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La historia clínica es inviolable. Los establecimientos asistenciales públicos o privados y los profesionales de la salud, en su calidad de titulares de consultorios privados, tienen a su cargo su guarda y custodia, asumiendo el carácter de depositarios de aquélla, y debiendo instrumentar los medios y recursos necesarios a fin de evitar el acceso a la información contenida en ella por personas no autorizadas. A los depositarios les son extensivas y aplicables las disposiciones que en materia contractual se establecen en el Libro II, Sección III, del Título XV del Código Civil, “Del depósito”, y normas concordantes.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La obligación impuesta en el párrafo precedente debe regir durante el plazo mínimo de DIEZ (10) años de prescripción liberatoria de la responsabilidad contractual. Dicho plazo se computa desde la última actuación registrada en la historia clínica y </w:t>
            </w:r>
            <w:proofErr w:type="gramStart"/>
            <w:r w:rsidRPr="00A0791F">
              <w:rPr>
                <w:rFonts w:ascii="Tahoma" w:eastAsia="Times New Roman" w:hAnsi="Tahoma" w:cs="Tahoma"/>
                <w:color w:val="000000"/>
                <w:sz w:val="17"/>
                <w:szCs w:val="17"/>
                <w:lang w:eastAsia="es-AR"/>
              </w:rPr>
              <w:t>vencido</w:t>
            </w:r>
            <w:proofErr w:type="gramEnd"/>
            <w:r w:rsidRPr="00A0791F">
              <w:rPr>
                <w:rFonts w:ascii="Tahoma" w:eastAsia="Times New Roman" w:hAnsi="Tahoma" w:cs="Tahoma"/>
                <w:color w:val="000000"/>
                <w:sz w:val="17"/>
                <w:szCs w:val="17"/>
                <w:lang w:eastAsia="es-AR"/>
              </w:rPr>
              <w:t xml:space="preserve"> el mismo, el depositario dispondrá de la misma en el modo y forma que determine la reglamentación.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Art. 19.- Legitimación. </w:t>
            </w:r>
            <w:proofErr w:type="spellStart"/>
            <w:r w:rsidRPr="00A0791F">
              <w:rPr>
                <w:rFonts w:ascii="Tahoma" w:eastAsia="Times New Roman" w:hAnsi="Tahoma" w:cs="Tahoma"/>
                <w:color w:val="000000"/>
                <w:sz w:val="17"/>
                <w:szCs w:val="17"/>
                <w:lang w:eastAsia="es-AR"/>
              </w:rPr>
              <w:t>Establécese</w:t>
            </w:r>
            <w:proofErr w:type="spellEnd"/>
            <w:r w:rsidRPr="00A0791F">
              <w:rPr>
                <w:rFonts w:ascii="Tahoma" w:eastAsia="Times New Roman" w:hAnsi="Tahoma" w:cs="Tahoma"/>
                <w:color w:val="000000"/>
                <w:sz w:val="17"/>
                <w:szCs w:val="17"/>
                <w:lang w:eastAsia="es-AR"/>
              </w:rPr>
              <w:t xml:space="preserve"> que se encuentran legitimados para solicitar la historia clínica: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 El paciente y su representante legal;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b) El cónyuge o la persona que conviva con el paciente en unión de hecho, sea o no de distinto sexo según acreditación que determine la reglamentación y los herederos forzosos, en su caso, con la autorización del paciente, salvo que éste se encuentre imposibilitado de darla;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 Los médicos, y otros profesionales del arte de curar, cuando cuenten con expresa autorización del paciente o de su representante legal.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A dichos fines, el depositario deberá disponer de un ejemplar del expediente médico con carácter de copia de </w:t>
            </w:r>
            <w:r w:rsidRPr="00A0791F">
              <w:rPr>
                <w:rFonts w:ascii="Tahoma" w:eastAsia="Times New Roman" w:hAnsi="Tahoma" w:cs="Tahoma"/>
                <w:color w:val="000000"/>
                <w:sz w:val="17"/>
                <w:szCs w:val="17"/>
                <w:lang w:eastAsia="es-AR"/>
              </w:rPr>
              <w:lastRenderedPageBreak/>
              <w:t>resguardo, revistiendo dicha copia todas las formalidades y garantías que las debidas al original. Asimismo podrán entregarse, cuando corresponda, copias certificadas por autoridad sanitaria respectiva del expediente médico, dejando constancia de la persona que efectúa la diligencia, consignando sus datos, motivos y demás consideraciones que resulten menester.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20.- Negativa. Acción. Todo sujeto legitimado en los términos del artículo 19 de la presente ley, frente a la negativa, demora o silencio del responsable que tiene a su cargo la guarda de la historia clínica, dispondrá del ejercicio de la acción directa de “habeas data” a fin de asegurar el acceso y obtención de aquélla. A dicha acción se le imprimirá el modo de proceso que en cada jurisdicción resulte más apto y rápido.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En jurisdicción nacional, esta acción quedará exenta de gastos de justicia.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21.- Sanciones. Sin perjuicio de la responsabilidad penal o civil que pudiere corresponder, los incumplimientos de las obligaciones emergentes de la presente ley por parte de los profesionales y responsables de los establecimientos asistenciales constituirán falta grave, siendo pasibles en la jurisdicción nacional de las sanciones previstas en el título VIII de la </w:t>
            </w:r>
            <w:hyperlink r:id="rId7" w:history="1">
              <w:r w:rsidRPr="00A0791F">
                <w:rPr>
                  <w:rFonts w:ascii="Tahoma" w:eastAsia="Times New Roman" w:hAnsi="Tahoma" w:cs="Tahoma"/>
                  <w:color w:val="0505A0"/>
                  <w:sz w:val="17"/>
                  <w:szCs w:val="17"/>
                  <w:u w:val="single"/>
                  <w:lang w:eastAsia="es-AR"/>
                </w:rPr>
                <w:t>Ley 17.132</w:t>
              </w:r>
            </w:hyperlink>
            <w:r w:rsidRPr="00A0791F">
              <w:rPr>
                <w:rFonts w:ascii="Tahoma" w:eastAsia="Times New Roman" w:hAnsi="Tahoma" w:cs="Tahoma"/>
                <w:color w:val="000000"/>
                <w:sz w:val="17"/>
                <w:szCs w:val="17"/>
                <w:lang w:eastAsia="es-AR"/>
              </w:rPr>
              <w:t> -Régimen Legal del Ejercicio de la Medicina, Odontología y Actividades Auxiliares de las mismas- y, en las jurisdicciones locales, serán pasibles de las sanciones de similar tenor que se correspondan con el régimen legal del ejercicio de la medicina que rija en cada una de ellas.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Capítulo V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DISPOSICIONES GENERALES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22.- Autoridad de aplicación nacional y local. Es autoridad de aplicación de la presente ley en la jurisdicción nacional, el Ministerio de Salud de la Nación, y en cada una de las jurisdicciones provinciales y Ciudad Autónoma de Buenos Aires, la máxima autoridad sanitaria local.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proofErr w:type="spellStart"/>
            <w:r w:rsidRPr="00A0791F">
              <w:rPr>
                <w:rFonts w:ascii="Tahoma" w:eastAsia="Times New Roman" w:hAnsi="Tahoma" w:cs="Tahoma"/>
                <w:color w:val="000000"/>
                <w:sz w:val="17"/>
                <w:szCs w:val="17"/>
                <w:lang w:eastAsia="es-AR"/>
              </w:rPr>
              <w:t>Invítase</w:t>
            </w:r>
            <w:proofErr w:type="spellEnd"/>
            <w:r w:rsidRPr="00A0791F">
              <w:rPr>
                <w:rFonts w:ascii="Tahoma" w:eastAsia="Times New Roman" w:hAnsi="Tahoma" w:cs="Tahoma"/>
                <w:color w:val="000000"/>
                <w:sz w:val="17"/>
                <w:szCs w:val="17"/>
                <w:lang w:eastAsia="es-AR"/>
              </w:rPr>
              <w:t xml:space="preserve"> a las provincias y a la Ciudad Autónoma de Buenos Aires, a adherir a la presente ley en lo que es materia del régimen de sanciones y del beneficio de gratuidad en materia de acceso a la justicia.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23.- Vigencia. La presente ley es de orden público, y entrará en vigencia a partir de los NOVENTA (90) días de la fecha de su publicación.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24.- Reglamentación. El Poder Ejecutivo debe reglamentar la presente ley dentro de los NOVENTA (90) días contados a partir de su publicación.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Art. 25.- Comuníquese al Poder Ejecutivo.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Dada en la Sala de Sesiones del Congreso Argentino, en Buenos Aires, a los veintiún </w:t>
            </w:r>
            <w:proofErr w:type="spellStart"/>
            <w:r w:rsidRPr="00A0791F">
              <w:rPr>
                <w:rFonts w:ascii="Tahoma" w:eastAsia="Times New Roman" w:hAnsi="Tahoma" w:cs="Tahoma"/>
                <w:color w:val="000000"/>
                <w:sz w:val="17"/>
                <w:szCs w:val="17"/>
                <w:lang w:eastAsia="es-AR"/>
              </w:rPr>
              <w:t>dias</w:t>
            </w:r>
            <w:proofErr w:type="spellEnd"/>
            <w:r w:rsidRPr="00A0791F">
              <w:rPr>
                <w:rFonts w:ascii="Tahoma" w:eastAsia="Times New Roman" w:hAnsi="Tahoma" w:cs="Tahoma"/>
                <w:color w:val="000000"/>
                <w:sz w:val="17"/>
                <w:szCs w:val="17"/>
                <w:lang w:eastAsia="es-AR"/>
              </w:rPr>
              <w:t xml:space="preserve"> del mes de octubre del año dos mil nueve. Registrada bajo el Nº 26.529.  </w:t>
            </w:r>
          </w:p>
          <w:p w:rsidR="00A0791F" w:rsidRPr="00A0791F" w:rsidRDefault="00A0791F" w:rsidP="00A0791F">
            <w:pPr>
              <w:spacing w:before="100" w:beforeAutospacing="1" w:after="100" w:afterAutospacing="1" w:line="280" w:lineRule="atLeast"/>
              <w:jc w:val="both"/>
              <w:rPr>
                <w:rFonts w:ascii="Tahoma" w:eastAsia="Times New Roman" w:hAnsi="Tahoma" w:cs="Tahoma"/>
                <w:color w:val="000000"/>
                <w:sz w:val="17"/>
                <w:szCs w:val="17"/>
                <w:lang w:eastAsia="es-AR"/>
              </w:rPr>
            </w:pPr>
            <w:r w:rsidRPr="00A0791F">
              <w:rPr>
                <w:rFonts w:ascii="Tahoma" w:eastAsia="Times New Roman" w:hAnsi="Tahoma" w:cs="Tahoma"/>
                <w:color w:val="000000"/>
                <w:sz w:val="17"/>
                <w:szCs w:val="17"/>
                <w:lang w:eastAsia="es-AR"/>
              </w:rPr>
              <w:t xml:space="preserve">Julio C. C. Cobos; Eduardo A. </w:t>
            </w:r>
            <w:proofErr w:type="spellStart"/>
            <w:r w:rsidRPr="00A0791F">
              <w:rPr>
                <w:rFonts w:ascii="Tahoma" w:eastAsia="Times New Roman" w:hAnsi="Tahoma" w:cs="Tahoma"/>
                <w:color w:val="000000"/>
                <w:sz w:val="17"/>
                <w:szCs w:val="17"/>
                <w:lang w:eastAsia="es-AR"/>
              </w:rPr>
              <w:t>Fellner</w:t>
            </w:r>
            <w:proofErr w:type="spellEnd"/>
            <w:r w:rsidRPr="00A0791F">
              <w:rPr>
                <w:rFonts w:ascii="Tahoma" w:eastAsia="Times New Roman" w:hAnsi="Tahoma" w:cs="Tahoma"/>
                <w:color w:val="000000"/>
                <w:sz w:val="17"/>
                <w:szCs w:val="17"/>
                <w:lang w:eastAsia="es-AR"/>
              </w:rPr>
              <w:t>; Enrique Hidalgo; Juan H. Estrada. </w:t>
            </w:r>
          </w:p>
        </w:tc>
      </w:tr>
    </w:tbl>
    <w:p w:rsidR="00030396" w:rsidRDefault="00030396">
      <w:bookmarkStart w:id="0" w:name="_GoBack"/>
      <w:bookmarkEnd w:id="0"/>
    </w:p>
    <w:sectPr w:rsidR="000303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1F"/>
    <w:rsid w:val="00030396"/>
    <w:rsid w:val="00A079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0791F"/>
    <w:rPr>
      <w:color w:val="0000FF"/>
      <w:u w:val="single"/>
    </w:rPr>
  </w:style>
  <w:style w:type="character" w:customStyle="1" w:styleId="apple-converted-space">
    <w:name w:val="apple-converted-space"/>
    <w:basedOn w:val="Fuentedeprrafopredeter"/>
    <w:rsid w:val="00A0791F"/>
  </w:style>
  <w:style w:type="paragraph" w:styleId="NormalWeb">
    <w:name w:val="Normal (Web)"/>
    <w:basedOn w:val="Normal"/>
    <w:uiPriority w:val="99"/>
    <w:unhideWhenUsed/>
    <w:rsid w:val="00A0791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079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0791F"/>
    <w:rPr>
      <w:color w:val="0000FF"/>
      <w:u w:val="single"/>
    </w:rPr>
  </w:style>
  <w:style w:type="character" w:customStyle="1" w:styleId="apple-converted-space">
    <w:name w:val="apple-converted-space"/>
    <w:basedOn w:val="Fuentedeprrafopredeter"/>
    <w:rsid w:val="00A0791F"/>
  </w:style>
  <w:style w:type="paragraph" w:styleId="NormalWeb">
    <w:name w:val="Normal (Web)"/>
    <w:basedOn w:val="Normal"/>
    <w:uiPriority w:val="99"/>
    <w:unhideWhenUsed/>
    <w:rsid w:val="00A0791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079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st.e-legis-ar.msal.gov.ar/leisref/public/search.php?type=ley/(5)&amp;number=17132&amp;day=24&amp;month=01&amp;year=19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13237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imedba1</dc:creator>
  <cp:lastModifiedBy>imedba1</cp:lastModifiedBy>
  <cp:revision>1</cp:revision>
  <dcterms:created xsi:type="dcterms:W3CDTF">2014-01-14T23:30:00Z</dcterms:created>
  <dcterms:modified xsi:type="dcterms:W3CDTF">2014-01-14T23:31:00Z</dcterms:modified>
</cp:coreProperties>
</file>